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160" w:line="240" w:lineRule="auto"/>
        <w:jc w:val="left"/>
        <w:rPr>
          <w:i w:val="1"/>
          <w:iCs w:val="1"/>
          <w:outline w:val="0"/>
          <w:color w:val="13333a"/>
          <w:sz w:val="26"/>
          <w:szCs w:val="26"/>
          <w:shd w:val="clear" w:color="auto" w:fill="fcfcf8"/>
          <w14:textFill>
            <w14:solidFill>
              <w14:srgbClr w14:val="13343B"/>
            </w14:solidFill>
          </w14:textFill>
        </w:rPr>
      </w:pPr>
      <w:r>
        <w:rPr>
          <w:i w:val="1"/>
          <w:iCs w:val="1"/>
          <w:outline w:val="0"/>
          <w:color w:val="13333a"/>
          <w:sz w:val="26"/>
          <w:szCs w:val="26"/>
          <w:shd w:val="clear" w:color="auto" w:fill="fcfcf8"/>
          <w14:textFill>
            <w14:solidFill>
              <w14:srgbClr w14:val="13343B"/>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4005049</wp:posOffset>
            </wp:positionH>
            <wp:positionV relativeFrom="page">
              <wp:posOffset>455414</wp:posOffset>
            </wp:positionV>
            <wp:extent cx="1376894" cy="1239204"/>
            <wp:effectExtent l="0" t="0" r="0" b="0"/>
            <wp:wrapThrough wrapText="bothSides" distL="152400" distR="152400">
              <wp:wrapPolygon edited="1">
                <wp:start x="0" y="0"/>
                <wp:lineTo x="21600" y="0"/>
                <wp:lineTo x="21600" y="21600"/>
                <wp:lineTo x="0" y="21600"/>
                <wp:lineTo x="0" y="0"/>
              </wp:wrapPolygon>
            </wp:wrapThrough>
            <wp:docPr id="1073741826" name="officeArt object" descr="StrategiesToAchieveGrowth150.jpg"/>
            <wp:cNvGraphicFramePr/>
            <a:graphic xmlns:a="http://schemas.openxmlformats.org/drawingml/2006/main">
              <a:graphicData uri="http://schemas.openxmlformats.org/drawingml/2006/picture">
                <pic:pic xmlns:pic="http://schemas.openxmlformats.org/drawingml/2006/picture">
                  <pic:nvPicPr>
                    <pic:cNvPr id="1073741826" name="StrategiesToAchieveGrowth150.jpg" descr="StrategiesToAchieveGrowth150.jpg"/>
                    <pic:cNvPicPr>
                      <a:picLocks noChangeAspect="1"/>
                    </pic:cNvPicPr>
                  </pic:nvPicPr>
                  <pic:blipFill>
                    <a:blip r:embed="rId4">
                      <a:extLst/>
                    </a:blip>
                    <a:stretch>
                      <a:fillRect/>
                    </a:stretch>
                  </pic:blipFill>
                  <pic:spPr>
                    <a:xfrm>
                      <a:off x="0" y="0"/>
                      <a:ext cx="1376894" cy="1239204"/>
                    </a:xfrm>
                    <a:prstGeom prst="rect">
                      <a:avLst/>
                    </a:prstGeom>
                    <a:ln w="12700" cap="flat">
                      <a:noFill/>
                      <a:miter lim="400000"/>
                    </a:ln>
                    <a:effectLst/>
                  </pic:spPr>
                </pic:pic>
              </a:graphicData>
            </a:graphic>
          </wp:anchor>
        </w:drawing>
      </w:r>
    </w:p>
    <w:p>
      <w:pPr>
        <w:pStyle w:val="Default"/>
        <w:suppressAutoHyphens w:val="1"/>
        <w:spacing w:before="0" w:after="160" w:line="240" w:lineRule="auto"/>
        <w:jc w:val="left"/>
        <w:rPr>
          <w:i w:val="1"/>
          <w:iCs w:val="1"/>
          <w:outline w:val="0"/>
          <w:color w:val="13333a"/>
          <w:sz w:val="26"/>
          <w:szCs w:val="26"/>
          <w:shd w:val="clear" w:color="auto" w:fill="fcfcf8"/>
          <w14:textFill>
            <w14:solidFill>
              <w14:srgbClr w14:val="13343B"/>
            </w14:solidFill>
          </w14:textFill>
        </w:rPr>
      </w:pPr>
      <w:r>
        <w:rPr>
          <w:i w:val="1"/>
          <w:iCs w:val="1"/>
          <w:outline w:val="0"/>
          <w:color w:val="13333a"/>
          <w:sz w:val="26"/>
          <w:szCs w:val="26"/>
          <w:shd w:val="clear" w:color="auto" w:fill="fcfcf8"/>
          <w:rtl w:val="0"/>
          <w:lang w:val="en-US"/>
          <w14:textFill>
            <w14:solidFill>
              <w14:srgbClr w14:val="13343B"/>
            </w14:solidFill>
          </w14:textFill>
        </w:rPr>
        <w:t xml:space="preserve">Compiled by Ranger Kidwell-Ross </w:t>
      </w:r>
      <w:r>
        <w:rPr>
          <w:i w:val="1"/>
          <w:iCs w:val="1"/>
          <w:outline w:val="0"/>
          <w:color w:val="13333a"/>
          <w:sz w:val="26"/>
          <w:szCs w:val="26"/>
          <w:shd w:val="clear" w:color="auto" w:fill="fcfcf8"/>
          <w:rtl w:val="0"/>
          <w:lang w:val="en-US"/>
          <w14:textFill>
            <w14:solidFill>
              <w14:srgbClr w14:val="13343B"/>
            </w14:solidFill>
          </w14:textFill>
        </w:rPr>
        <w:t xml:space="preserve">• </w:t>
      </w:r>
      <w:r>
        <w:rPr>
          <w:i w:val="1"/>
          <w:iCs w:val="1"/>
          <w:outline w:val="0"/>
          <w:color w:val="13333a"/>
          <w:sz w:val="26"/>
          <w:szCs w:val="26"/>
          <w:shd w:val="clear" w:color="auto" w:fill="fcfcf8"/>
          <w:rtl w:val="0"/>
          <w:lang w:val="en-US"/>
          <w14:textFill>
            <w14:solidFill>
              <w14:srgbClr w14:val="13343B"/>
            </w14:solidFill>
          </w14:textFill>
        </w:rPr>
        <w:t>May 2025</w:t>
      </w:r>
    </w:p>
    <w:p>
      <w:pPr>
        <w:pStyle w:val="Default"/>
        <w:suppressAutoHyphens w:val="1"/>
        <w:spacing w:before="0" w:after="160" w:line="240" w:lineRule="auto"/>
        <w:jc w:val="left"/>
        <w:rPr>
          <w:b w:val="1"/>
          <w:bCs w:val="1"/>
          <w:outline w:val="0"/>
          <w:color w:val="13333a"/>
          <w:sz w:val="34"/>
          <w:szCs w:val="34"/>
          <w:shd w:val="clear" w:color="auto" w:fill="ffffff"/>
          <w14:textFill>
            <w14:solidFill>
              <w14:srgbClr w14:val="13343B"/>
            </w14:solidFill>
          </w14:textFill>
        </w:rPr>
      </w:pPr>
      <w:r>
        <w:rPr>
          <w:b w:val="1"/>
          <w:bCs w:val="1"/>
          <w:outline w:val="0"/>
          <w:color w:val="13333a"/>
          <w:sz w:val="34"/>
          <w:szCs w:val="34"/>
          <w:shd w:val="clear" w:color="auto" w:fill="fcfcf8"/>
          <w:rtl w:val="0"/>
          <w:lang w:val="en-US"/>
          <w14:textFill>
            <w14:solidFill>
              <w14:srgbClr w14:val="13343B"/>
            </w14:solidFill>
          </w14:textFill>
        </w:rPr>
        <w:t>Key Topics and Strategies for Power Sweeping Contractors Seeking Efficient, Cost-Effective Growth</w:t>
      </w: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cfcf8"/>
          <w:rtl w:val="0"/>
          <w:lang w:val="en-US"/>
          <w14:textFill>
            <w14:solidFill>
              <w14:srgbClr w14:val="13343B"/>
            </w14:solidFill>
          </w14:textFill>
        </w:rPr>
        <w:t>Invest in Technology and Operations Management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Implement advanced management software for GPS tracking, route optimization, predictive maintenance, and job completion timestamps. This streamlines operations, improves bidding accuracy, enhances payroll reporting, and increases responsiveness through mobile field reporting.</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Use technology to monitor equipment usage and maintenance schedules, minimizing downtime and extending fleet life.</w:t>
      </w: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cfcf8"/>
          <w:rtl w:val="0"/>
          <w:lang w:val="en-US"/>
          <w14:textFill>
            <w14:solidFill>
              <w14:srgbClr w14:val="13343B"/>
            </w14:solidFill>
          </w14:textFill>
        </w:rPr>
        <w:t>Optimize Equipment Investments</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Maintain a diverse fleet tailored to different job requirements. Regularly service equipment to reduce breakdowns and maximize return on investment.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 xml:space="preserve">Consider cost-effective equipment options, such as </w:t>
      </w:r>
      <w:r>
        <w:rPr>
          <w:outline w:val="0"/>
          <w:color w:val="13333a"/>
          <w:sz w:val="26"/>
          <w:szCs w:val="26"/>
          <w:shd w:val="clear" w:color="auto" w:fill="fcfcf8"/>
          <w:rtl w:val="0"/>
          <w:lang w:val="en-US"/>
          <w14:textFill>
            <w14:solidFill>
              <w14:srgbClr w14:val="13343B"/>
            </w14:solidFill>
          </w14:textFill>
        </w:rPr>
        <w:t>having a more diverse fleet</w:t>
      </w:r>
      <w:r>
        <w:rPr>
          <w:outline w:val="0"/>
          <w:color w:val="13333a"/>
          <w:sz w:val="26"/>
          <w:szCs w:val="26"/>
          <w:shd w:val="clear" w:color="auto" w:fill="fcfcf8"/>
          <w:rtl w:val="0"/>
          <w:lang w:val="en-US"/>
          <w14:textFill>
            <w14:solidFill>
              <w14:srgbClr w14:val="13343B"/>
            </w14:solidFill>
          </w14:textFill>
        </w:rPr>
        <w:t>, which can significantly improve efficiency and</w:t>
      </w:r>
      <w:r>
        <w:rPr>
          <w:outline w:val="0"/>
          <w:color w:val="13333a"/>
          <w:sz w:val="26"/>
          <w:szCs w:val="26"/>
          <w:shd w:val="clear" w:color="auto" w:fill="fcfcf8"/>
          <w:rtl w:val="0"/>
          <w:lang w:val="en-US"/>
          <w14:textFill>
            <w14:solidFill>
              <w14:srgbClr w14:val="13343B"/>
            </w14:solidFill>
          </w14:textFill>
        </w:rPr>
        <w:t>, in some cases,</w:t>
      </w:r>
      <w:r>
        <w:rPr>
          <w:outline w:val="0"/>
          <w:color w:val="13333a"/>
          <w:sz w:val="26"/>
          <w:szCs w:val="26"/>
          <w:shd w:val="clear" w:color="auto" w:fill="fcfcf8"/>
          <w:rtl w:val="0"/>
          <w:lang w:val="en-US"/>
          <w14:textFill>
            <w14:solidFill>
              <w14:srgbClr w14:val="13343B"/>
            </w14:solidFill>
          </w14:textFill>
        </w:rPr>
        <w:t xml:space="preserve"> environmental compliance with only marginal cost increases.</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 xml:space="preserve">Explore multi-purpose equipment that can be converted for other uses (e.g., </w:t>
      </w:r>
      <w:r>
        <w:rPr>
          <w:outline w:val="0"/>
          <w:color w:val="13333a"/>
          <w:sz w:val="26"/>
          <w:szCs w:val="26"/>
          <w:shd w:val="clear" w:color="auto" w:fill="fcfcf8"/>
          <w:rtl w:val="0"/>
          <w:lang w:val="en-US"/>
          <w14:textFill>
            <w14:solidFill>
              <w14:srgbClr w14:val="13343B"/>
            </w14:solidFill>
          </w14:textFill>
        </w:rPr>
        <w:t>power washers good for both cleaning sweepers and doing client work needed in your area)</w:t>
      </w:r>
      <w:r>
        <w:rPr>
          <w:outline w:val="0"/>
          <w:color w:val="13333a"/>
          <w:sz w:val="26"/>
          <w:szCs w:val="26"/>
          <w:shd w:val="clear" w:color="auto" w:fill="fcfcf8"/>
          <w:rtl w:val="0"/>
          <w:lang w:val="en-US"/>
          <w14:textFill>
            <w14:solidFill>
              <w14:srgbClr w14:val="13343B"/>
            </w14:solidFill>
          </w14:textFill>
        </w:rPr>
        <w:t xml:space="preserve"> to maximize asset utilization.</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Weigh the pros and cons of purchasing versus renting additional sweepers, especially during periods of fluctuating demand. Renting can help manage costs until client growth is stable.</w:t>
      </w: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cfcf8"/>
          <w:rtl w:val="0"/>
          <w:lang w:val="en-US"/>
          <w14:textFill>
            <w14:solidFill>
              <w14:srgbClr w14:val="13343B"/>
            </w14:solidFill>
          </w14:textFill>
        </w:rPr>
        <w:t>Customer Relationship Management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Build strong, trust-based relationships with clients by ensuring quality, promptly addressing issues, and following up after jobs to gauge satisfaction.</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Establish feedback mechanisms and referral programs to foster loyalty and generate new business.</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Attend industry tradeshows to network, learn from peers, and meet potential clients.</w:t>
      </w: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cfcf8"/>
          <w:rtl w:val="0"/>
          <w:lang w:val="en-US"/>
          <w14:textFill>
            <w14:solidFill>
              <w14:srgbClr w14:val="13343B"/>
            </w14:solidFill>
          </w14:textFill>
        </w:rPr>
        <w:t>Employee Training and Engagement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Provide ongoing training in equipment operation and customer service to ensure staff are skilled and safety-conscious.</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Implement incentive programs to motivate employees and encourage proactive business development.</w:t>
      </w:r>
    </w:p>
    <w:p>
      <w:pPr>
        <w:pStyle w:val="Default"/>
        <w:suppressAutoHyphens w:val="1"/>
        <w:spacing w:before="0" w:line="240" w:lineRule="auto"/>
        <w:jc w:val="left"/>
        <w:rPr>
          <w:outline w:val="0"/>
          <w:color w:val="13333a"/>
          <w:sz w:val="26"/>
          <w:szCs w:val="26"/>
          <w:shd w:val="clear" w:color="auto" w:fill="ffffff"/>
          <w14:textFill>
            <w14:solidFill>
              <w14:srgbClr w14:val="13343B"/>
            </w14:solidFill>
          </w14:textFill>
        </w:rPr>
      </w:pP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fffff"/>
          <w:rtl w:val="0"/>
          <w:lang w:val="en-US"/>
          <w14:textFill>
            <w14:solidFill>
              <w14:srgbClr w14:val="13343B"/>
            </w14:solidFill>
          </w14:textFill>
        </w:rPr>
        <w:t>Integrate AI Usage Into Business Practices</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fffff"/>
          <w:rtl w:val="0"/>
          <w:lang w:val="en-US"/>
          <w14:textFill>
            <w14:solidFill>
              <w14:srgbClr w14:val="13343B"/>
            </w14:solidFill>
          </w14:textFill>
        </w:rPr>
        <w:t>Start with targeted use cases, such as route optimization and predictive maintenance, to quickly realize cost and efficiency benefits</w:t>
      </w:r>
      <w:r>
        <w:rPr>
          <w:outline w:val="0"/>
          <w:color w:val="13333a"/>
          <w:sz w:val="26"/>
          <w:szCs w:val="26"/>
          <w:shd w:val="clear" w:color="auto" w:fill="fcfcf8"/>
          <w:rtl w:val="0"/>
          <w14:textFill>
            <w14:solidFill>
              <w14:srgbClr w14:val="13343B"/>
            </w14:solidFill>
          </w14:textFill>
        </w:rPr>
        <w: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Implement incentive programs to motivate employees and encourage proactive business development.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fffff"/>
          <w:rtl w:val="0"/>
          <w:lang w:val="en-US"/>
          <w14:textFill>
            <w14:solidFill>
              <w14:srgbClr w14:val="13343B"/>
            </w14:solidFill>
          </w14:textFill>
        </w:rPr>
        <w:t>Train staff on AI tools to ensure smooth integration and maximize value.</w:t>
      </w: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cfcf8"/>
          <w:rtl w:val="0"/>
          <w:lang w:val="en-US"/>
          <w14:textFill>
            <w14:solidFill>
              <w14:srgbClr w14:val="13343B"/>
            </w14:solidFill>
          </w14:textFill>
        </w:rPr>
        <w:t>Risk Management and Contract Review</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 xml:space="preserve">Carefully review contracts for clauses that shift excessive liability to your business, such as </w:t>
      </w:r>
      <w:r>
        <w:rPr>
          <w:outline w:val="0"/>
          <w:color w:val="13333a"/>
          <w:sz w:val="26"/>
          <w:szCs w:val="26"/>
          <w:shd w:val="clear" w:color="auto" w:fill="fcfcf8"/>
          <w:rtl w:val="1"/>
          <w:lang w:val="ar-SA" w:bidi="ar-SA"/>
          <w14:textFill>
            <w14:solidFill>
              <w14:srgbClr w14:val="13343B"/>
            </w14:solidFill>
          </w14:textFill>
        </w:rPr>
        <w:t>“</w:t>
      </w:r>
      <w:r>
        <w:rPr>
          <w:outline w:val="0"/>
          <w:color w:val="13333a"/>
          <w:sz w:val="26"/>
          <w:szCs w:val="26"/>
          <w:shd w:val="clear" w:color="auto" w:fill="fcfcf8"/>
          <w:rtl w:val="0"/>
          <w:lang w:val="en-US"/>
          <w14:textFill>
            <w14:solidFill>
              <w14:srgbClr w14:val="13343B"/>
            </w14:solidFill>
          </w14:textFill>
        </w:rPr>
        <w:t>omissions liability</w:t>
      </w:r>
      <w:r>
        <w:rPr>
          <w:outline w:val="0"/>
          <w:color w:val="13333a"/>
          <w:sz w:val="26"/>
          <w:szCs w:val="26"/>
          <w:shd w:val="clear" w:color="auto" w:fill="fcfcf8"/>
          <w:rtl w:val="0"/>
          <w14:textFill>
            <w14:solidFill>
              <w14:srgbClr w14:val="13343B"/>
            </w14:solidFill>
          </w14:textFill>
        </w:rPr>
        <w:t xml:space="preserve">” </w:t>
      </w:r>
      <w:r>
        <w:rPr>
          <w:outline w:val="0"/>
          <w:color w:val="13333a"/>
          <w:sz w:val="26"/>
          <w:szCs w:val="26"/>
          <w:shd w:val="clear" w:color="auto" w:fill="fcfcf8"/>
          <w:rtl w:val="0"/>
          <w:lang w:val="en-US"/>
          <w14:textFill>
            <w14:solidFill>
              <w14:srgbClr w14:val="13343B"/>
            </w14:solidFill>
          </w14:textFill>
        </w:rPr>
        <w:t>or requirements to be first in line for lawsuits. Consult legal counsel to avoid unfavorable terms that can drive up insurance costs or expose the business to unnecessary risk.</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Stay informed about regulatory changes (e.g., silica dust rules, environmental requirements) and their impact on equipment and operations.</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Use WSA</w:t>
      </w:r>
      <w:r>
        <w:rPr>
          <w:outline w:val="0"/>
          <w:color w:val="13333a"/>
          <w:sz w:val="26"/>
          <w:szCs w:val="26"/>
          <w:shd w:val="clear" w:color="auto" w:fill="fcfcf8"/>
          <w:rtl w:val="0"/>
          <w:lang w:val="en-US"/>
          <w14:textFill>
            <w14:solidFill>
              <w14:srgbClr w14:val="13343B"/>
            </w14:solidFill>
          </w14:textFill>
        </w:rPr>
        <w:t>’</w:t>
      </w:r>
      <w:r>
        <w:rPr>
          <w:outline w:val="0"/>
          <w:color w:val="13333a"/>
          <w:sz w:val="26"/>
          <w:szCs w:val="26"/>
          <w:shd w:val="clear" w:color="auto" w:fill="fcfcf8"/>
          <w:rtl w:val="0"/>
          <w:lang w:val="en-US"/>
          <w14:textFill>
            <w14:solidFill>
              <w14:srgbClr w14:val="13343B"/>
            </w14:solidFill>
          </w14:textFill>
        </w:rPr>
        <w:t>s Third Party Vendor reviews in order to learn about them prior to signing contracts with one.</w:t>
      </w: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cfcf8"/>
          <w:rtl w:val="0"/>
          <w:lang w:val="en-US"/>
          <w14:textFill>
            <w14:solidFill>
              <w14:srgbClr w14:val="13343B"/>
            </w14:solidFill>
          </w14:textFill>
        </w:rPr>
        <w:t>Diversification and Market Expansion</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Consider expanding into less saturated, higher-margin markets such as construction sweeping, which often faces less competition and can yield better returns if you have the right equipment.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Develop strategic partnerships with local businesses and municipalities to access larger contracts and collaborative opportunities.</w:t>
      </w:r>
    </w:p>
    <w:p>
      <w:pPr>
        <w:pStyle w:val="Default"/>
        <w:suppressAutoHyphens w:val="1"/>
        <w:spacing w:before="0" w:line="240" w:lineRule="auto"/>
        <w:jc w:val="left"/>
        <w:rPr>
          <w:b w:val="1"/>
          <w:bCs w:val="1"/>
          <w:outline w:val="0"/>
          <w:color w:val="13333a"/>
          <w:sz w:val="26"/>
          <w:szCs w:val="26"/>
          <w:shd w:val="clear" w:color="auto" w:fill="ffffff"/>
          <w14:textFill>
            <w14:solidFill>
              <w14:srgbClr w14:val="13343B"/>
            </w14:solidFill>
          </w14:textFill>
        </w:rPr>
      </w:pPr>
      <w:r>
        <w:rPr>
          <w:b w:val="1"/>
          <w:bCs w:val="1"/>
          <w:outline w:val="0"/>
          <w:color w:val="13333a"/>
          <w:sz w:val="26"/>
          <w:szCs w:val="26"/>
          <w:shd w:val="clear" w:color="auto" w:fill="fcfcf8"/>
          <w:rtl w:val="0"/>
          <w:lang w:val="en-US"/>
          <w14:textFill>
            <w14:solidFill>
              <w14:srgbClr w14:val="13343B"/>
            </w14:solidFill>
          </w14:textFill>
        </w:rPr>
        <w:t>Ethical Practices and Community Engagement</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Adopt ethical business practices to enhance your company</w:t>
      </w:r>
      <w:r>
        <w:rPr>
          <w:outline w:val="0"/>
          <w:color w:val="13333a"/>
          <w:sz w:val="26"/>
          <w:szCs w:val="26"/>
          <w:shd w:val="clear" w:color="auto" w:fill="fcfcf8"/>
          <w:rtl w:val="1"/>
          <w14:textFill>
            <w14:solidFill>
              <w14:srgbClr w14:val="13343B"/>
            </w14:solidFill>
          </w14:textFill>
        </w:rPr>
        <w:t>’</w:t>
      </w:r>
      <w:r>
        <w:rPr>
          <w:outline w:val="0"/>
          <w:color w:val="13333a"/>
          <w:sz w:val="26"/>
          <w:szCs w:val="26"/>
          <w:shd w:val="clear" w:color="auto" w:fill="fcfcf8"/>
          <w:rtl w:val="0"/>
          <w:lang w:val="en-US"/>
          <w14:textFill>
            <w14:solidFill>
              <w14:srgbClr w14:val="13343B"/>
            </w14:solidFill>
          </w14:textFill>
        </w:rPr>
        <w:t>s reputation and employee satisfaction.</w:t>
      </w:r>
    </w:p>
    <w:p>
      <w:pPr>
        <w:pStyle w:val="Default"/>
        <w:numPr>
          <w:ilvl w:val="0"/>
          <w:numId w:val="2"/>
        </w:numPr>
        <w:suppressAutoHyphens w:val="1"/>
        <w:spacing w:before="0" w:line="240" w:lineRule="auto"/>
        <w:jc w:val="left"/>
        <w:rPr>
          <w:outline w:val="0"/>
          <w:color w:val="13333a"/>
          <w:sz w:val="26"/>
          <w:szCs w:val="26"/>
          <w:shd w:val="clear" w:color="auto" w:fill="fcfcf8"/>
          <w:lang w:val="en-US"/>
          <w14:textFill>
            <w14:solidFill>
              <w14:srgbClr w14:val="13343B"/>
            </w14:solidFill>
          </w14:textFill>
        </w:rPr>
      </w:pPr>
      <w:r>
        <w:rPr>
          <w:outline w:val="0"/>
          <w:color w:val="13333a"/>
          <w:sz w:val="26"/>
          <w:szCs w:val="26"/>
          <w:shd w:val="clear" w:color="auto" w:fill="fcfcf8"/>
          <w:rtl w:val="0"/>
          <w:lang w:val="en-US"/>
          <w14:textFill>
            <w14:solidFill>
              <w14:srgbClr w14:val="13343B"/>
            </w14:solidFill>
          </w14:textFill>
        </w:rPr>
        <w:t>Participate in community initiatives related to cleanliness and environmental stewardship to build goodwill and attract new clients.</w:t>
      </w:r>
    </w:p>
    <w:p>
      <w:pPr>
        <w:pStyle w:val="Default"/>
        <w:suppressAutoHyphens w:val="1"/>
        <w:spacing w:before="0" w:line="240" w:lineRule="auto"/>
        <w:jc w:val="left"/>
        <w:rPr>
          <w:outline w:val="0"/>
          <w:color w:val="13333a"/>
          <w:sz w:val="26"/>
          <w:szCs w:val="26"/>
          <w:shd w:val="clear" w:color="auto" w:fill="fcfcf8"/>
          <w14:textFill>
            <w14:solidFill>
              <w14:srgbClr w14:val="13343B"/>
            </w14:solidFill>
          </w14:textFill>
        </w:rPr>
      </w:pPr>
    </w:p>
    <w:p>
      <w:pPr>
        <w:pStyle w:val="Default"/>
        <w:suppressAutoHyphens w:val="1"/>
        <w:spacing w:before="0" w:line="240" w:lineRule="auto"/>
        <w:jc w:val="left"/>
        <w:rPr>
          <w:b w:val="1"/>
          <w:bCs w:val="1"/>
          <w:i w:val="1"/>
          <w:iCs w:val="1"/>
          <w:outline w:val="0"/>
          <w:color w:val="13333a"/>
          <w:sz w:val="28"/>
          <w:szCs w:val="28"/>
          <w:shd w:val="clear" w:color="auto" w:fill="fcfcf8"/>
          <w14:textFill>
            <w14:solidFill>
              <w14:srgbClr w14:val="13343B"/>
            </w14:solidFill>
          </w14:textFill>
        </w:rPr>
      </w:pPr>
      <w:r>
        <w:rPr>
          <w:b w:val="1"/>
          <w:bCs w:val="1"/>
          <w:i w:val="1"/>
          <w:iCs w:val="1"/>
          <w:outline w:val="0"/>
          <w:color w:val="13333a"/>
          <w:sz w:val="28"/>
          <w:szCs w:val="28"/>
          <w:shd w:val="clear" w:color="auto" w:fill="fcfcf8"/>
          <w:rtl w:val="0"/>
          <w:lang w:val="en-US"/>
          <w14:textFill>
            <w14:solidFill>
              <w14:srgbClr w14:val="13343B"/>
            </w14:solidFill>
          </w14:textFill>
        </w:rPr>
        <w:t>By focusing on these areas</w:t>
      </w:r>
      <w:r>
        <w:rPr>
          <w:b w:val="1"/>
          <w:bCs w:val="1"/>
          <w:i w:val="1"/>
          <w:iCs w:val="1"/>
          <w:outline w:val="0"/>
          <w:color w:val="13333a"/>
          <w:sz w:val="28"/>
          <w:szCs w:val="28"/>
          <w:shd w:val="clear" w:color="auto" w:fill="fcfcf8"/>
          <w:rtl w:val="0"/>
          <w:lang w:val="en-US"/>
          <w14:textFill>
            <w14:solidFill>
              <w14:srgbClr w14:val="13343B"/>
            </w14:solidFill>
          </w14:textFill>
        </w:rPr>
        <w:t xml:space="preserve">, </w:t>
      </w:r>
      <w:r>
        <w:rPr>
          <w:b w:val="1"/>
          <w:bCs w:val="1"/>
          <w:i w:val="1"/>
          <w:iCs w:val="1"/>
          <w:outline w:val="0"/>
          <w:color w:val="13333a"/>
          <w:sz w:val="28"/>
          <w:szCs w:val="28"/>
          <w:shd w:val="clear" w:color="auto" w:fill="fcfcf8"/>
          <w:rtl w:val="0"/>
          <w:lang w:val="en-US"/>
          <w14:textFill>
            <w14:solidFill>
              <w14:srgbClr w14:val="13343B"/>
            </w14:solidFill>
          </w14:textFill>
        </w:rPr>
        <w:t>power sweeping contractors can position themselves for sustainable, efficient, and cost-effective growth in a competitive marketplace.</w:t>
      </w:r>
    </w:p>
    <w:p>
      <w:pPr>
        <w:pStyle w:val="Default"/>
        <w:suppressAutoHyphens w:val="1"/>
        <w:spacing w:before="0" w:line="240" w:lineRule="auto"/>
        <w:jc w:val="left"/>
        <w:rPr>
          <w:b w:val="1"/>
          <w:bCs w:val="1"/>
          <w:i w:val="1"/>
          <w:iCs w:val="1"/>
          <w:outline w:val="0"/>
          <w:color w:val="13333a"/>
          <w:sz w:val="28"/>
          <w:szCs w:val="28"/>
          <w:shd w:val="clear" w:color="auto" w:fill="fcfcf8"/>
          <w14:textFill>
            <w14:solidFill>
              <w14:srgbClr w14:val="13343B"/>
            </w14:solidFill>
          </w14:textFill>
        </w:rPr>
      </w:pPr>
    </w:p>
    <w:p>
      <w:pPr>
        <w:pStyle w:val="Header &amp; Footer"/>
        <w:bidi w:val="0"/>
      </w:pPr>
      <w:r>
        <w:rPr>
          <w:rtl w:val="0"/>
          <w:lang w:val="en-US"/>
        </w:rPr>
        <w:t xml:space="preserve">           WSA Contact Info: </w:t>
      </w:r>
      <w:r>
        <w:rPr>
          <w:rStyle w:val="Hyperlink.0"/>
        </w:rPr>
        <w:fldChar w:fldCharType="begin" w:fldLock="0"/>
      </w:r>
      <w:r>
        <w:rPr>
          <w:rStyle w:val="Hyperlink.0"/>
        </w:rPr>
        <w:instrText xml:space="preserve"> HYPERLINK "mailto:director@worldsweepingpros.org"</w:instrText>
      </w:r>
      <w:r>
        <w:rPr>
          <w:rStyle w:val="Hyperlink.0"/>
        </w:rPr>
        <w:fldChar w:fldCharType="separate" w:fldLock="0"/>
      </w:r>
      <w:r>
        <w:rPr>
          <w:rStyle w:val="Hyperlink.0"/>
          <w:rtl w:val="0"/>
          <w:lang w:val="en-US"/>
        </w:rPr>
        <w:t>director@worldsweepingpros.org</w:t>
      </w:r>
      <w:r>
        <w:rPr/>
        <w:fldChar w:fldCharType="end" w:fldLock="0"/>
      </w:r>
      <w:r>
        <w:rPr>
          <w:rtl w:val="0"/>
          <w:lang w:val="en-US"/>
        </w:rPr>
        <w:t xml:space="preserve"> • </w:t>
      </w:r>
      <w:r>
        <w:rPr>
          <w:rtl w:val="0"/>
          <w:lang w:val="en-US"/>
        </w:rPr>
        <w:t>360.739.7323</w:t>
      </w:r>
      <w:r>
        <w:rPr>
          <w:shd w:val="clear" w:color="auto" w:fill="ffffff"/>
        </w:rPr>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pPr>
    <w:r>
      <w:drawing xmlns:a="http://schemas.openxmlformats.org/drawingml/2006/main">
        <wp:inline distT="0" distB="0" distL="0" distR="0">
          <wp:extent cx="1631382" cy="802641"/>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extLst/>
                  </a:blip>
                  <a:stretch>
                    <a:fillRect/>
                  </a:stretch>
                </pic:blipFill>
                <pic:spPr>
                  <a:xfrm>
                    <a:off x="0" y="0"/>
                    <a:ext cx="1631382" cy="80264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0"/>
        <w:highlight w:val="none"/>
        <w:vertAlign w:val="baseline"/>
      </w:rPr>
    </w:lvl>
    <w:lvl w:ilvl="1">
      <w:start w:val="1"/>
      <w:numFmt w:val="bullet"/>
      <w:suff w:val="tab"/>
      <w:lvlText w:val="•"/>
      <w:lvlJc w:val="left"/>
      <w:pPr>
        <w:ind w:left="84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lvl w:ilvl="2">
      <w:start w:val="1"/>
      <w:numFmt w:val="bullet"/>
      <w:suff w:val="tab"/>
      <w:lvlText w:val="•"/>
      <w:lvlJc w:val="left"/>
      <w:pPr>
        <w:ind w:left="106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lvl w:ilvl="3">
      <w:start w:val="1"/>
      <w:numFmt w:val="bullet"/>
      <w:suff w:val="tab"/>
      <w:lvlText w:val="•"/>
      <w:lvlJc w:val="left"/>
      <w:pPr>
        <w:ind w:left="128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lvl w:ilvl="4">
      <w:start w:val="1"/>
      <w:numFmt w:val="bullet"/>
      <w:suff w:val="tab"/>
      <w:lvlText w:val="•"/>
      <w:lvlJc w:val="left"/>
      <w:pPr>
        <w:ind w:left="150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lvl w:ilvl="5">
      <w:start w:val="1"/>
      <w:numFmt w:val="bullet"/>
      <w:suff w:val="tab"/>
      <w:lvlText w:val="•"/>
      <w:lvlJc w:val="left"/>
      <w:pPr>
        <w:ind w:left="172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lvl w:ilvl="6">
      <w:start w:val="1"/>
      <w:numFmt w:val="bullet"/>
      <w:suff w:val="tab"/>
      <w:lvlText w:val="•"/>
      <w:lvlJc w:val="left"/>
      <w:pPr>
        <w:ind w:left="194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lvl w:ilvl="7">
      <w:start w:val="1"/>
      <w:numFmt w:val="bullet"/>
      <w:suff w:val="tab"/>
      <w:lvlText w:val="•"/>
      <w:lvlJc w:val="left"/>
      <w:pPr>
        <w:ind w:left="216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lvl w:ilvl="8">
      <w:start w:val="1"/>
      <w:numFmt w:val="bullet"/>
      <w:suff w:val="tab"/>
      <w:lvlText w:val="•"/>
      <w:lvlJc w:val="left"/>
      <w:pPr>
        <w:ind w:left="2386" w:hanging="406"/>
      </w:pPr>
      <w:rPr>
        <w:rFonts w:ascii="Helvetica Neue" w:cs="Helvetica Neue" w:hAnsi="Helvetica Neue" w:eastAsia="Helvetica Neue"/>
        <w:b w:val="0"/>
        <w:bCs w:val="0"/>
        <w:i w:val="0"/>
        <w:iCs w:val="0"/>
        <w:caps w:val="0"/>
        <w:smallCaps w:val="0"/>
        <w:strike w:val="0"/>
        <w:dstrike w:val="0"/>
        <w:outline w:val="0"/>
        <w:emboss w:val="0"/>
        <w:imprint w:val="0"/>
        <w:color w:val="13333a"/>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